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55EA" w:rsidRPr="005555EA" w:rsidRDefault="005555EA" w:rsidP="005555EA">
      <w:pPr>
        <w:rPr>
          <w:rFonts w:ascii="Arial" w:hAnsi="Arial" w:cs="Arial"/>
          <w:b/>
          <w:noProof/>
          <w:sz w:val="24"/>
          <w:szCs w:val="24"/>
        </w:rPr>
      </w:pPr>
      <w:bookmarkStart w:id="0" w:name="_Ref399006623"/>
      <w:bookmarkStart w:id="1" w:name="_Toc92513360"/>
      <w:r w:rsidRPr="005555EA">
        <w:rPr>
          <w:rFonts w:ascii="Arial" w:hAnsi="Arial" w:cs="Arial"/>
          <w:b/>
          <w:noProof/>
          <w:sz w:val="24"/>
          <w:szCs w:val="24"/>
        </w:rPr>
        <w:t>3GPP TSG-RAN WG4 Meeting #110bis</w:t>
      </w:r>
      <w:r>
        <w:rPr>
          <w:rFonts w:ascii="Arial" w:hAnsi="Arial" w:cs="Arial"/>
          <w:b/>
          <w:noProof/>
          <w:sz w:val="24"/>
          <w:szCs w:val="24"/>
        </w:rPr>
        <w:t xml:space="preserve">                      </w:t>
      </w:r>
      <w:r w:rsidRPr="005555EA">
        <w:rPr>
          <w:rFonts w:ascii="Arial" w:hAnsi="Arial" w:cs="Arial"/>
          <w:b/>
          <w:noProof/>
          <w:sz w:val="24"/>
          <w:szCs w:val="24"/>
        </w:rPr>
        <w:tab/>
      </w:r>
      <w:r w:rsidRPr="005555EA">
        <w:rPr>
          <w:rFonts w:ascii="Arial" w:hAnsi="Arial" w:cs="Arial"/>
          <w:b/>
          <w:noProof/>
          <w:sz w:val="24"/>
          <w:szCs w:val="24"/>
        </w:rPr>
        <w:tab/>
      </w:r>
      <w:r w:rsidRPr="005555EA">
        <w:rPr>
          <w:rFonts w:ascii="Arial" w:hAnsi="Arial" w:cs="Arial"/>
          <w:b/>
          <w:noProof/>
          <w:sz w:val="24"/>
          <w:szCs w:val="24"/>
        </w:rPr>
        <w:tab/>
      </w:r>
      <w:r>
        <w:rPr>
          <w:rFonts w:ascii="Arial" w:hAnsi="Arial" w:cs="Arial"/>
          <w:b/>
          <w:noProof/>
          <w:sz w:val="24"/>
          <w:szCs w:val="24"/>
        </w:rPr>
        <w:t xml:space="preserve">  </w:t>
      </w:r>
      <w:r w:rsidRPr="005555EA">
        <w:rPr>
          <w:rFonts w:ascii="Arial" w:hAnsi="Arial" w:cs="Arial"/>
          <w:b/>
          <w:noProof/>
          <w:sz w:val="24"/>
          <w:szCs w:val="24"/>
        </w:rPr>
        <w:tab/>
        <w:t>R4-240</w:t>
      </w:r>
      <w:r w:rsidR="00610841">
        <w:rPr>
          <w:rFonts w:ascii="Arial" w:hAnsi="Arial" w:cs="Arial"/>
          <w:b/>
          <w:noProof/>
          <w:sz w:val="24"/>
          <w:szCs w:val="24"/>
        </w:rPr>
        <w:t>4669</w:t>
      </w:r>
    </w:p>
    <w:p w:rsidR="001F5D6A" w:rsidRPr="00275694" w:rsidRDefault="005555EA" w:rsidP="005555EA">
      <w:pPr>
        <w:rPr>
          <w:rFonts w:eastAsia="宋体"/>
          <w:lang w:eastAsia="zh-CN"/>
        </w:rPr>
      </w:pPr>
      <w:r w:rsidRPr="005555EA">
        <w:rPr>
          <w:rFonts w:ascii="Arial" w:hAnsi="Arial" w:cs="Arial"/>
          <w:b/>
          <w:noProof/>
          <w:sz w:val="24"/>
          <w:szCs w:val="24"/>
        </w:rPr>
        <w:t>Changsha, China, 15th – 19th April, 2024</w:t>
      </w:r>
    </w:p>
    <w:p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B78AB">
        <w:rPr>
          <w:rFonts w:ascii="Arial" w:hAnsi="Arial" w:cs="Arial"/>
          <w:sz w:val="22"/>
        </w:rPr>
        <w:t xml:space="preserve">Discussion on system parameters </w:t>
      </w:r>
      <w:r w:rsidR="00101F0B">
        <w:rPr>
          <w:rFonts w:ascii="Arial" w:hAnsi="Arial" w:cs="Arial"/>
          <w:sz w:val="22"/>
        </w:rPr>
        <w:t>for</w:t>
      </w:r>
      <w:r w:rsidR="009B78AB">
        <w:rPr>
          <w:rFonts w:ascii="Arial" w:hAnsi="Arial" w:cs="Arial"/>
          <w:sz w:val="22"/>
        </w:rPr>
        <w:t xml:space="preserve"> </w:t>
      </w:r>
      <w:proofErr w:type="spellStart"/>
      <w:r w:rsidR="009B78AB">
        <w:rPr>
          <w:rFonts w:ascii="Arial" w:hAnsi="Arial" w:cs="Arial"/>
          <w:sz w:val="22"/>
        </w:rPr>
        <w:t>gNB</w:t>
      </w:r>
      <w:proofErr w:type="spellEnd"/>
      <w:r w:rsidR="009B78AB">
        <w:rPr>
          <w:rFonts w:ascii="Arial" w:hAnsi="Arial" w:cs="Arial"/>
          <w:sz w:val="22"/>
        </w:rPr>
        <w:t xml:space="preserve"> SBFD</w:t>
      </w:r>
    </w:p>
    <w:p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9B78AB">
        <w:rPr>
          <w:rFonts w:ascii="Arial" w:hAnsi="Arial" w:cs="Arial"/>
          <w:sz w:val="22"/>
          <w:lang w:val="en-US"/>
        </w:rPr>
        <w:t>9.12.2</w:t>
      </w:r>
    </w:p>
    <w:p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rsidR="00FC0076" w:rsidRDefault="00E52C47" w:rsidP="004065E5">
      <w:pPr>
        <w:pStyle w:val="1"/>
        <w:rPr>
          <w:rFonts w:eastAsia="宋体"/>
          <w:lang w:eastAsia="zh-CN"/>
        </w:rPr>
      </w:pPr>
      <w:r>
        <w:rPr>
          <w:rFonts w:eastAsia="宋体" w:hint="eastAsia"/>
          <w:lang w:eastAsia="zh-CN"/>
        </w:rPr>
        <w:t>Introduction</w:t>
      </w:r>
    </w:p>
    <w:p w:rsidR="007223D0" w:rsidRPr="00CD1BB9" w:rsidRDefault="00EB2FBB" w:rsidP="00C4467D">
      <w:pPr>
        <w:jc w:val="both"/>
        <w:rPr>
          <w:rFonts w:eastAsia="等线"/>
          <w:lang w:eastAsia="zh-CN"/>
        </w:rPr>
      </w:pPr>
      <w:r>
        <w:rPr>
          <w:rFonts w:eastAsia="等线"/>
          <w:lang w:eastAsia="zh-CN"/>
        </w:rPr>
        <w:t xml:space="preserve">In RAN#103, there was a WID revision [1] for evolution of NR duplex operation. RAN4 aims at specifying BS RF requirements for the </w:t>
      </w:r>
      <w:proofErr w:type="spellStart"/>
      <w:r w:rsidR="00B52022">
        <w:rPr>
          <w:rFonts w:eastAsia="等线"/>
          <w:lang w:eastAsia="zh-CN"/>
        </w:rPr>
        <w:t>gNB</w:t>
      </w:r>
      <w:proofErr w:type="spellEnd"/>
      <w:r w:rsidR="00B52022">
        <w:rPr>
          <w:rFonts w:eastAsia="等线"/>
          <w:lang w:eastAsia="zh-CN"/>
        </w:rPr>
        <w:t xml:space="preserve"> SBFD</w:t>
      </w:r>
      <w:r>
        <w:rPr>
          <w:rFonts w:eastAsia="等线"/>
          <w:lang w:eastAsia="zh-CN"/>
        </w:rPr>
        <w:t>.</w:t>
      </w:r>
      <w:r w:rsidR="00944D11">
        <w:rPr>
          <w:rFonts w:eastAsia="等线"/>
          <w:lang w:eastAsia="zh-CN"/>
        </w:rPr>
        <w:t xml:space="preserve"> In this contribution, we share our views on this topic.</w:t>
      </w:r>
    </w:p>
    <w:p w:rsidR="00703A03" w:rsidRDefault="00853ECB" w:rsidP="00703A03">
      <w:pPr>
        <w:pStyle w:val="1"/>
        <w:rPr>
          <w:rFonts w:eastAsia="宋体"/>
          <w:lang w:eastAsia="zh-CN"/>
        </w:rPr>
      </w:pPr>
      <w:r>
        <w:rPr>
          <w:rFonts w:eastAsia="宋体" w:hint="eastAsia"/>
          <w:lang w:eastAsia="zh-CN"/>
        </w:rPr>
        <w:t>Discussion</w:t>
      </w:r>
    </w:p>
    <w:p w:rsidR="00944D11" w:rsidRPr="00944D11" w:rsidRDefault="00944D11" w:rsidP="009A4788">
      <w:pPr>
        <w:jc w:val="both"/>
        <w:rPr>
          <w:rFonts w:eastAsia="宋体"/>
          <w:lang w:eastAsia="zh-CN"/>
        </w:rPr>
      </w:pPr>
      <w:r>
        <w:rPr>
          <w:rFonts w:eastAsia="宋体"/>
          <w:lang w:eastAsia="zh-CN"/>
        </w:rPr>
        <w:t xml:space="preserve">Before we start the work of specifying BS RF requirements for </w:t>
      </w:r>
      <w:proofErr w:type="spellStart"/>
      <w:r>
        <w:rPr>
          <w:rFonts w:eastAsia="宋体"/>
          <w:lang w:eastAsia="zh-CN"/>
        </w:rPr>
        <w:t>gNB</w:t>
      </w:r>
      <w:proofErr w:type="spellEnd"/>
      <w:r>
        <w:rPr>
          <w:rFonts w:eastAsia="宋体"/>
          <w:lang w:eastAsia="zh-CN"/>
        </w:rPr>
        <w:t xml:space="preserve"> SBFD, we think it is necessary to specify operating bands for SBFD. Although most of BS RF requirements are band-agnostic, we still think it is beneficial to clarify the operating bands for </w:t>
      </w:r>
      <w:proofErr w:type="spellStart"/>
      <w:r>
        <w:rPr>
          <w:rFonts w:eastAsia="宋体"/>
          <w:lang w:eastAsia="zh-CN"/>
        </w:rPr>
        <w:t>gNB</w:t>
      </w:r>
      <w:proofErr w:type="spellEnd"/>
      <w:r>
        <w:rPr>
          <w:rFonts w:eastAsia="宋体"/>
          <w:lang w:eastAsia="zh-CN"/>
        </w:rPr>
        <w:t xml:space="preserve"> SBFD. In the study item, we studied the frequency </w:t>
      </w:r>
      <w:r>
        <w:rPr>
          <w:rFonts w:eastAsia="宋体" w:hint="eastAsia"/>
          <w:lang w:eastAsia="zh-CN"/>
        </w:rPr>
        <w:t>range</w:t>
      </w:r>
      <w:r>
        <w:rPr>
          <w:rFonts w:eastAsia="宋体"/>
          <w:lang w:eastAsia="zh-CN"/>
        </w:rPr>
        <w:t xml:space="preserve"> </w:t>
      </w:r>
      <w:r>
        <w:rPr>
          <w:rFonts w:eastAsia="宋体" w:hint="eastAsia"/>
          <w:lang w:eastAsia="zh-CN"/>
        </w:rPr>
        <w:t xml:space="preserve">FR1 </w:t>
      </w:r>
      <w:r>
        <w:rPr>
          <w:rFonts w:eastAsia="宋体"/>
          <w:lang w:eastAsia="zh-CN"/>
        </w:rPr>
        <w:t>and FR2-1. More specifically, in the co-existence study</w:t>
      </w:r>
      <w:r w:rsidR="00C4467D">
        <w:rPr>
          <w:rFonts w:eastAsia="宋体"/>
          <w:lang w:eastAsia="zh-CN"/>
        </w:rPr>
        <w:t>,</w:t>
      </w:r>
      <w:r>
        <w:rPr>
          <w:rFonts w:eastAsia="宋体"/>
          <w:lang w:eastAsia="zh-CN"/>
        </w:rPr>
        <w:t xml:space="preserve"> 4GHz operating frequency was assumed for FR1 and 30GHz for FR2-1. In the regulatory aspects for deploying the duplex enhancements in TDD, some example frequency bands were given for study, e.g. 3.4-3.8 </w:t>
      </w:r>
      <w:r>
        <w:rPr>
          <w:rFonts w:eastAsia="宋体" w:hint="eastAsia"/>
          <w:lang w:eastAsia="zh-CN"/>
        </w:rPr>
        <w:t>G</w:t>
      </w:r>
      <w:r>
        <w:rPr>
          <w:rFonts w:eastAsia="宋体"/>
          <w:lang w:eastAsia="zh-CN"/>
        </w:rPr>
        <w:t xml:space="preserve">Hz in Region 1. We think in the normative phase, RAN4 needs to further decide the operating bands for </w:t>
      </w:r>
      <w:proofErr w:type="spellStart"/>
      <w:r>
        <w:rPr>
          <w:rFonts w:eastAsia="宋体"/>
          <w:lang w:eastAsia="zh-CN"/>
        </w:rPr>
        <w:t>gNB</w:t>
      </w:r>
      <w:proofErr w:type="spellEnd"/>
      <w:r>
        <w:rPr>
          <w:rFonts w:eastAsia="宋体"/>
          <w:lang w:eastAsia="zh-CN"/>
        </w:rPr>
        <w:t xml:space="preserve"> SBFD. It should consider operator’s interests and the feasibility of SBFD-capable BS, and some other considerations of deploying </w:t>
      </w:r>
      <w:proofErr w:type="spellStart"/>
      <w:r>
        <w:rPr>
          <w:rFonts w:eastAsia="宋体"/>
          <w:lang w:eastAsia="zh-CN"/>
        </w:rPr>
        <w:t>gNB</w:t>
      </w:r>
      <w:proofErr w:type="spellEnd"/>
      <w:r>
        <w:rPr>
          <w:rFonts w:eastAsia="宋体"/>
          <w:lang w:eastAsia="zh-CN"/>
        </w:rPr>
        <w:t xml:space="preserve"> SBFD.</w:t>
      </w:r>
    </w:p>
    <w:p w:rsidR="00944D11" w:rsidRDefault="00944D11" w:rsidP="009A4788">
      <w:pPr>
        <w:jc w:val="both"/>
        <w:rPr>
          <w:rFonts w:eastAsia="等线"/>
          <w:b/>
          <w:lang w:val="en-US" w:eastAsia="zh-CN"/>
        </w:rPr>
      </w:pPr>
      <w:r w:rsidRPr="00944D11">
        <w:rPr>
          <w:rFonts w:eastAsia="等线"/>
          <w:b/>
          <w:lang w:val="en-US" w:eastAsia="zh-CN"/>
        </w:rPr>
        <w:t xml:space="preserve">Proposal 1: Before start of specifying BS RF requirements, it is suggested to specify operating bands for </w:t>
      </w:r>
      <w:proofErr w:type="spellStart"/>
      <w:r w:rsidRPr="00944D11">
        <w:rPr>
          <w:rFonts w:eastAsia="等线"/>
          <w:b/>
          <w:lang w:val="en-US" w:eastAsia="zh-CN"/>
        </w:rPr>
        <w:t>gNB</w:t>
      </w:r>
      <w:proofErr w:type="spellEnd"/>
      <w:r w:rsidRPr="00944D11">
        <w:rPr>
          <w:rFonts w:eastAsia="等线"/>
          <w:b/>
          <w:lang w:val="en-US" w:eastAsia="zh-CN"/>
        </w:rPr>
        <w:t xml:space="preserve"> SBFD.</w:t>
      </w:r>
    </w:p>
    <w:p w:rsidR="00944D11" w:rsidRDefault="00944D11" w:rsidP="009A4788">
      <w:pPr>
        <w:jc w:val="both"/>
        <w:rPr>
          <w:rFonts w:eastAsia="等线"/>
          <w:lang w:val="en-US" w:eastAsia="zh-CN"/>
        </w:rPr>
      </w:pPr>
      <w:r w:rsidRPr="00944D11">
        <w:rPr>
          <w:rFonts w:eastAsia="等线"/>
          <w:lang w:val="en-US" w:eastAsia="zh-CN"/>
        </w:rPr>
        <w:t>For the BS channel bandwidth supporting SBFD, we only considered 100MHz in FR1 and 200MHz in FR2-1</w:t>
      </w:r>
      <w:r>
        <w:rPr>
          <w:rFonts w:eastAsia="等线"/>
          <w:lang w:val="en-US" w:eastAsia="zh-CN"/>
        </w:rPr>
        <w:t xml:space="preserve"> with DU or DUD </w:t>
      </w:r>
      <w:proofErr w:type="spellStart"/>
      <w:r>
        <w:rPr>
          <w:rFonts w:eastAsia="等线"/>
          <w:lang w:val="en-US" w:eastAsia="zh-CN"/>
        </w:rPr>
        <w:t>subband</w:t>
      </w:r>
      <w:proofErr w:type="spellEnd"/>
      <w:r>
        <w:rPr>
          <w:rFonts w:eastAsia="等线"/>
          <w:lang w:val="en-US" w:eastAsia="zh-CN"/>
        </w:rPr>
        <w:t xml:space="preserve"> configurations. </w:t>
      </w:r>
      <w:r w:rsidR="007D252A">
        <w:rPr>
          <w:rFonts w:eastAsia="等线"/>
          <w:lang w:val="en-US" w:eastAsia="zh-CN"/>
        </w:rPr>
        <w:t xml:space="preserve">The UL </w:t>
      </w:r>
      <w:proofErr w:type="spellStart"/>
      <w:r w:rsidR="007D252A">
        <w:rPr>
          <w:rFonts w:eastAsia="等线"/>
          <w:lang w:val="en-US" w:eastAsia="zh-CN"/>
        </w:rPr>
        <w:t>subband</w:t>
      </w:r>
      <w:proofErr w:type="spellEnd"/>
      <w:r w:rsidR="007D252A">
        <w:rPr>
          <w:rFonts w:eastAsia="等线"/>
          <w:lang w:val="en-US" w:eastAsia="zh-CN"/>
        </w:rPr>
        <w:t xml:space="preserve"> occupies in 20% of BS </w:t>
      </w:r>
      <w:r w:rsidR="00B52022">
        <w:rPr>
          <w:rFonts w:eastAsia="等线"/>
          <w:lang w:val="en-US" w:eastAsia="zh-CN"/>
        </w:rPr>
        <w:t>channel bandwidth</w:t>
      </w:r>
      <w:r w:rsidR="007D252A">
        <w:rPr>
          <w:rFonts w:eastAsia="等线"/>
          <w:lang w:val="en-US" w:eastAsia="zh-CN"/>
        </w:rPr>
        <w:t xml:space="preserve">. </w:t>
      </w:r>
      <w:r w:rsidR="007D252A">
        <w:rPr>
          <w:rFonts w:eastAsia="等线" w:hint="eastAsia"/>
          <w:lang w:val="en-US" w:eastAsia="zh-CN"/>
        </w:rPr>
        <w:t>These</w:t>
      </w:r>
      <w:r w:rsidR="007D252A">
        <w:rPr>
          <w:rFonts w:eastAsia="等线"/>
          <w:lang w:val="en-US" w:eastAsia="zh-CN"/>
        </w:rPr>
        <w:t xml:space="preserve"> were </w:t>
      </w:r>
      <w:r w:rsidR="007D252A">
        <w:rPr>
          <w:rFonts w:eastAsia="等线" w:hint="eastAsia"/>
          <w:lang w:val="en-US" w:eastAsia="zh-CN"/>
        </w:rPr>
        <w:t>the</w:t>
      </w:r>
      <w:r w:rsidR="007D252A">
        <w:rPr>
          <w:rFonts w:eastAsia="等线"/>
          <w:lang w:val="en-US" w:eastAsia="zh-CN"/>
        </w:rPr>
        <w:t xml:space="preserve"> </w:t>
      </w:r>
      <w:r w:rsidR="007D252A">
        <w:rPr>
          <w:rFonts w:eastAsia="等线" w:hint="eastAsia"/>
          <w:lang w:val="en-US" w:eastAsia="zh-CN"/>
        </w:rPr>
        <w:t>basic</w:t>
      </w:r>
      <w:r w:rsidR="007D252A">
        <w:rPr>
          <w:rFonts w:eastAsia="等线"/>
          <w:lang w:val="en-US" w:eastAsia="zh-CN"/>
        </w:rPr>
        <w:t xml:space="preserve"> </w:t>
      </w:r>
      <w:r w:rsidR="007D252A">
        <w:rPr>
          <w:rFonts w:eastAsia="等线" w:hint="eastAsia"/>
          <w:lang w:val="en-US" w:eastAsia="zh-CN"/>
        </w:rPr>
        <w:t>assumptions</w:t>
      </w:r>
      <w:r w:rsidR="007D252A">
        <w:rPr>
          <w:rFonts w:eastAsia="等线"/>
          <w:lang w:val="en-US" w:eastAsia="zh-CN"/>
        </w:rPr>
        <w:t xml:space="preserve"> in the study phase. However, in the normative phase, we think it is necessary to specify BS channel bandwidth and SBFD configurations in the BS specification. </w:t>
      </w:r>
    </w:p>
    <w:p w:rsidR="007D252A" w:rsidRPr="007D252A" w:rsidRDefault="007D252A" w:rsidP="009A4788">
      <w:pPr>
        <w:jc w:val="both"/>
        <w:rPr>
          <w:rFonts w:eastAsia="等线"/>
          <w:lang w:val="en-US" w:eastAsia="zh-CN"/>
        </w:rPr>
      </w:pPr>
      <w:r>
        <w:rPr>
          <w:rFonts w:eastAsia="等线"/>
          <w:lang w:val="en-US" w:eastAsia="zh-CN"/>
        </w:rPr>
        <w:t xml:space="preserve">Another issue about BS channel bandwidth, we are wondering if only 100MHz for FR1 can support SBFD or only 200MHz </w:t>
      </w:r>
      <w:r>
        <w:rPr>
          <w:rFonts w:eastAsia="等线" w:hint="eastAsia"/>
          <w:lang w:val="en-US" w:eastAsia="zh-CN"/>
        </w:rPr>
        <w:t>for</w:t>
      </w:r>
      <w:r>
        <w:rPr>
          <w:rFonts w:eastAsia="等线"/>
          <w:lang w:val="en-US" w:eastAsia="zh-CN"/>
        </w:rPr>
        <w:t xml:space="preserve"> FR2-1 can support SBFD. There are many other BS channel bandwidths</w:t>
      </w:r>
      <w:r w:rsidR="00C4467D">
        <w:rPr>
          <w:rFonts w:eastAsia="等线"/>
          <w:lang w:val="en-US" w:eastAsia="zh-CN"/>
        </w:rPr>
        <w:t xml:space="preserve"> and SBFD configurations</w:t>
      </w:r>
      <w:r>
        <w:rPr>
          <w:rFonts w:eastAsia="等线"/>
          <w:lang w:val="en-US" w:eastAsia="zh-CN"/>
        </w:rPr>
        <w:t>, e.g. 50MHz (20M D+10M U+20</w:t>
      </w:r>
      <w:r>
        <w:rPr>
          <w:rFonts w:eastAsia="等线" w:hint="eastAsia"/>
          <w:lang w:val="en-US" w:eastAsia="zh-CN"/>
        </w:rPr>
        <w:t>M</w:t>
      </w:r>
      <w:r>
        <w:rPr>
          <w:rFonts w:eastAsia="等线"/>
          <w:lang w:val="en-US" w:eastAsia="zh-CN"/>
        </w:rPr>
        <w:t>)</w:t>
      </w:r>
      <w:r w:rsidR="00C4467D">
        <w:rPr>
          <w:rFonts w:eastAsia="等线"/>
          <w:lang w:val="en-US" w:eastAsia="zh-CN"/>
        </w:rPr>
        <w:t>. We can further discuss</w:t>
      </w:r>
      <w:r>
        <w:rPr>
          <w:rFonts w:eastAsia="等线"/>
          <w:lang w:val="en-US" w:eastAsia="zh-CN"/>
        </w:rPr>
        <w:t xml:space="preserve"> if other BS channel bandwidths can also support SBFD.</w:t>
      </w:r>
    </w:p>
    <w:p w:rsidR="007D252A" w:rsidRPr="00C4467D" w:rsidRDefault="007D252A" w:rsidP="00944D11">
      <w:pPr>
        <w:rPr>
          <w:rFonts w:eastAsia="等线"/>
          <w:b/>
          <w:lang w:val="en-US" w:eastAsia="zh-CN"/>
        </w:rPr>
      </w:pPr>
      <w:r w:rsidRPr="00C4467D">
        <w:rPr>
          <w:rFonts w:eastAsia="等线"/>
          <w:b/>
          <w:lang w:val="en-US" w:eastAsia="zh-CN"/>
        </w:rPr>
        <w:t xml:space="preserve">Proposal 2. It is suggested to specify BS channel bandwidths and SBFD configurations for </w:t>
      </w:r>
      <w:proofErr w:type="spellStart"/>
      <w:r w:rsidRPr="00C4467D">
        <w:rPr>
          <w:rFonts w:eastAsia="等线"/>
          <w:b/>
          <w:lang w:val="en-US" w:eastAsia="zh-CN"/>
        </w:rPr>
        <w:t>gNB</w:t>
      </w:r>
      <w:proofErr w:type="spellEnd"/>
      <w:r w:rsidRPr="00C4467D">
        <w:rPr>
          <w:rFonts w:eastAsia="等线"/>
          <w:b/>
          <w:lang w:val="en-US" w:eastAsia="zh-CN"/>
        </w:rPr>
        <w:t xml:space="preserve"> SBFD.</w:t>
      </w:r>
    </w:p>
    <w:p w:rsidR="007D252A" w:rsidRDefault="007D252A" w:rsidP="009A4788">
      <w:pPr>
        <w:jc w:val="both"/>
        <w:rPr>
          <w:rFonts w:eastAsia="等线"/>
          <w:lang w:val="en-US" w:eastAsia="zh-CN"/>
        </w:rPr>
      </w:pPr>
      <w:r w:rsidRPr="007D252A">
        <w:rPr>
          <w:rFonts w:eastAsia="等线"/>
          <w:lang w:val="en-US" w:eastAsia="zh-CN"/>
        </w:rPr>
        <w:t>For the Guard band assumption</w:t>
      </w:r>
      <w:r>
        <w:rPr>
          <w:rFonts w:eastAsia="等线"/>
          <w:lang w:val="en-US" w:eastAsia="zh-CN"/>
        </w:rPr>
        <w:t xml:space="preserve">, most of companies assumed 5RB GB between DL and UL </w:t>
      </w:r>
      <w:proofErr w:type="spellStart"/>
      <w:r>
        <w:rPr>
          <w:rFonts w:eastAsia="等线"/>
          <w:lang w:val="en-US" w:eastAsia="zh-CN"/>
        </w:rPr>
        <w:t>subbands</w:t>
      </w:r>
      <w:proofErr w:type="spellEnd"/>
      <w:r>
        <w:rPr>
          <w:rFonts w:eastAsia="等线"/>
          <w:lang w:val="en-US" w:eastAsia="zh-CN"/>
        </w:rPr>
        <w:t xml:space="preserve"> in the self-interference study for 100MHz in FR1. We think RAN4 may need to specify the </w:t>
      </w:r>
      <w:proofErr w:type="spellStart"/>
      <w:r>
        <w:rPr>
          <w:rFonts w:eastAsia="等线"/>
          <w:lang w:val="en-US" w:eastAsia="zh-CN"/>
        </w:rPr>
        <w:t>guardband</w:t>
      </w:r>
      <w:proofErr w:type="spellEnd"/>
      <w:r>
        <w:rPr>
          <w:rFonts w:eastAsia="等线"/>
          <w:lang w:val="en-US" w:eastAsia="zh-CN"/>
        </w:rPr>
        <w:t xml:space="preserve"> since it can affect the residual RF leakage in the UL </w:t>
      </w:r>
      <w:proofErr w:type="spellStart"/>
      <w:r>
        <w:rPr>
          <w:rFonts w:eastAsia="等线"/>
          <w:lang w:val="en-US" w:eastAsia="zh-CN"/>
        </w:rPr>
        <w:t>subband</w:t>
      </w:r>
      <w:proofErr w:type="spellEnd"/>
      <w:r>
        <w:rPr>
          <w:rFonts w:eastAsia="等线"/>
          <w:lang w:val="en-US" w:eastAsia="zh-CN"/>
        </w:rPr>
        <w:t xml:space="preserve"> and BS REFSENS in the UL </w:t>
      </w:r>
      <w:proofErr w:type="spellStart"/>
      <w:r>
        <w:rPr>
          <w:rFonts w:eastAsia="等线"/>
          <w:lang w:val="en-US" w:eastAsia="zh-CN"/>
        </w:rPr>
        <w:t>subband</w:t>
      </w:r>
      <w:proofErr w:type="spellEnd"/>
      <w:r>
        <w:rPr>
          <w:rFonts w:eastAsia="等线"/>
          <w:lang w:val="en-US" w:eastAsia="zh-CN"/>
        </w:rPr>
        <w:t>.</w:t>
      </w:r>
    </w:p>
    <w:p w:rsidR="00706B8F" w:rsidRDefault="00706B8F" w:rsidP="009A4788">
      <w:pPr>
        <w:jc w:val="both"/>
        <w:rPr>
          <w:rFonts w:eastAsia="等线"/>
          <w:lang w:val="en-US" w:eastAsia="zh-CN"/>
        </w:rPr>
      </w:pPr>
      <w:r>
        <w:rPr>
          <w:rFonts w:eastAsia="等线"/>
          <w:lang w:val="en-US" w:eastAsia="zh-CN"/>
        </w:rPr>
        <w:t xml:space="preserve">In the status report for </w:t>
      </w:r>
      <w:proofErr w:type="spellStart"/>
      <w:r>
        <w:rPr>
          <w:rFonts w:eastAsia="等线" w:hint="eastAsia"/>
          <w:lang w:val="en-US" w:eastAsia="zh-CN"/>
        </w:rPr>
        <w:t>gNB</w:t>
      </w:r>
      <w:proofErr w:type="spellEnd"/>
      <w:r>
        <w:rPr>
          <w:rFonts w:eastAsia="等线"/>
          <w:lang w:val="en-US" w:eastAsia="zh-CN"/>
        </w:rPr>
        <w:t xml:space="preserve"> full duplex in RAN#103, there was one agreement on frequency domain resources in RAN1. The size of </w:t>
      </w:r>
      <w:proofErr w:type="spellStart"/>
      <w:r>
        <w:rPr>
          <w:rFonts w:eastAsia="等线"/>
          <w:lang w:val="en-US" w:eastAsia="zh-CN"/>
        </w:rPr>
        <w:t>guardband</w:t>
      </w:r>
      <w:proofErr w:type="spellEnd"/>
      <w:r>
        <w:rPr>
          <w:rFonts w:eastAsia="等线"/>
          <w:lang w:val="en-US" w:eastAsia="zh-CN"/>
        </w:rPr>
        <w:t xml:space="preserve"> if any will be subject to RAN4 guidance.</w:t>
      </w:r>
      <w:r w:rsidR="00C4467D">
        <w:rPr>
          <w:rFonts w:eastAsia="等线"/>
          <w:lang w:val="en-US" w:eastAsia="zh-CN"/>
        </w:rPr>
        <w:t xml:space="preserve"> We can discuss the </w:t>
      </w:r>
      <w:proofErr w:type="spellStart"/>
      <w:r w:rsidR="00C4467D">
        <w:rPr>
          <w:rFonts w:eastAsia="等线"/>
          <w:lang w:val="en-US" w:eastAsia="zh-CN"/>
        </w:rPr>
        <w:t>guardband</w:t>
      </w:r>
      <w:proofErr w:type="spellEnd"/>
      <w:r w:rsidR="00C4467D">
        <w:rPr>
          <w:rFonts w:eastAsia="等线"/>
          <w:lang w:val="en-US" w:eastAsia="zh-CN"/>
        </w:rPr>
        <w:t xml:space="preserve"> issue and reply to RAN1.</w:t>
      </w:r>
    </w:p>
    <w:p w:rsidR="00706B8F" w:rsidRPr="00C4467D" w:rsidRDefault="00706B8F" w:rsidP="009A4788">
      <w:pPr>
        <w:overflowPunct/>
        <w:autoSpaceDE/>
        <w:autoSpaceDN/>
        <w:adjustRightInd/>
        <w:spacing w:after="0"/>
        <w:jc w:val="both"/>
        <w:textAlignment w:val="auto"/>
        <w:rPr>
          <w:rFonts w:ascii="Times" w:eastAsia="Malgun Gothic" w:hAnsi="Times" w:cs="Times"/>
          <w:b/>
          <w:lang w:eastAsia="zh-CN"/>
        </w:rPr>
      </w:pPr>
      <w:r w:rsidRPr="00C4467D">
        <w:rPr>
          <w:rFonts w:ascii="Times" w:eastAsia="Malgun Gothic" w:hAnsi="Times" w:cs="Times"/>
          <w:b/>
          <w:lang w:eastAsia="zh-CN"/>
        </w:rPr>
        <w:t>Agreement in RAN1</w:t>
      </w:r>
    </w:p>
    <w:p w:rsidR="00706B8F" w:rsidRPr="006F207E" w:rsidRDefault="00706B8F" w:rsidP="009A4788">
      <w:pPr>
        <w:overflowPunct/>
        <w:autoSpaceDE/>
        <w:autoSpaceDN/>
        <w:adjustRightInd/>
        <w:spacing w:after="0"/>
        <w:jc w:val="both"/>
        <w:textAlignment w:val="auto"/>
        <w:rPr>
          <w:rFonts w:ascii="Times" w:eastAsia="Malgun Gothic" w:hAnsi="Times" w:cs="Times"/>
          <w:lang w:eastAsia="zh-CN"/>
        </w:rPr>
      </w:pPr>
      <w:r w:rsidRPr="006F207E">
        <w:rPr>
          <w:rFonts w:ascii="Times" w:eastAsia="Malgun Gothic" w:hAnsi="Times" w:cs="Times"/>
          <w:lang w:eastAsia="zh-CN"/>
        </w:rPr>
        <w:t xml:space="preserve">The </w:t>
      </w:r>
      <w:proofErr w:type="spellStart"/>
      <w:r w:rsidRPr="006F207E">
        <w:rPr>
          <w:rFonts w:ascii="Times" w:eastAsia="Malgun Gothic" w:hAnsi="Times" w:cs="Times"/>
          <w:lang w:eastAsia="zh-CN"/>
        </w:rPr>
        <w:t>subband</w:t>
      </w:r>
      <w:proofErr w:type="spellEnd"/>
      <w:r w:rsidRPr="006F207E">
        <w:rPr>
          <w:rFonts w:ascii="Times" w:eastAsia="Malgun Gothic" w:hAnsi="Times" w:cs="Times"/>
          <w:lang w:eastAsia="zh-CN"/>
        </w:rPr>
        <w:t xml:space="preserve"> frequency-domain resources are same across different SBFD symbols within a TDD carrier. Frequency location of cell specific UL </w:t>
      </w:r>
      <w:proofErr w:type="spellStart"/>
      <w:r w:rsidRPr="006F207E">
        <w:rPr>
          <w:rFonts w:ascii="Times" w:eastAsia="Malgun Gothic" w:hAnsi="Times" w:cs="Times"/>
          <w:lang w:eastAsia="zh-CN"/>
        </w:rPr>
        <w:t>subband</w:t>
      </w:r>
      <w:proofErr w:type="spellEnd"/>
      <w:r w:rsidRPr="006F207E">
        <w:rPr>
          <w:rFonts w:ascii="Times" w:eastAsia="Malgun Gothic" w:hAnsi="Times" w:cs="Times"/>
          <w:lang w:eastAsia="zh-CN"/>
        </w:rPr>
        <w:t xml:space="preserve">, and DL </w:t>
      </w:r>
      <w:proofErr w:type="spellStart"/>
      <w:r w:rsidRPr="006F207E">
        <w:rPr>
          <w:rFonts w:ascii="Times" w:eastAsia="Malgun Gothic" w:hAnsi="Times" w:cs="Times"/>
          <w:lang w:eastAsia="zh-CN"/>
        </w:rPr>
        <w:t>subband</w:t>
      </w:r>
      <w:proofErr w:type="spellEnd"/>
      <w:r w:rsidRPr="006F207E">
        <w:rPr>
          <w:rFonts w:ascii="Times" w:eastAsia="Malgun Gothic" w:hAnsi="Times" w:cs="Times"/>
          <w:lang w:eastAsia="zh-CN"/>
        </w:rPr>
        <w:t>(s) if explicitly indicated, are indicated with reference to CRB grid.</w:t>
      </w:r>
    </w:p>
    <w:p w:rsidR="00706B8F" w:rsidRPr="006F207E" w:rsidRDefault="00706B8F" w:rsidP="009A4788">
      <w:pPr>
        <w:numPr>
          <w:ilvl w:val="0"/>
          <w:numId w:val="23"/>
        </w:numPr>
        <w:suppressAutoHyphens/>
        <w:overflowPunct/>
        <w:autoSpaceDE/>
        <w:autoSpaceDN/>
        <w:adjustRightInd/>
        <w:spacing w:after="0"/>
        <w:jc w:val="both"/>
        <w:textAlignment w:val="auto"/>
        <w:rPr>
          <w:rFonts w:ascii="Times" w:eastAsia="Malgun Gothic" w:hAnsi="Times" w:cs="Times"/>
          <w:lang w:eastAsia="zh-CN"/>
        </w:rPr>
      </w:pPr>
      <w:r w:rsidRPr="006F207E">
        <w:rPr>
          <w:rFonts w:ascii="Times" w:eastAsia="Malgun Gothic" w:hAnsi="Times" w:cs="Times"/>
          <w:lang w:eastAsia="zh-CN"/>
        </w:rPr>
        <w:t xml:space="preserve">RB-level granularity is supported for semi-static indication of SBFD </w:t>
      </w:r>
      <w:proofErr w:type="spellStart"/>
      <w:r w:rsidRPr="006F207E">
        <w:rPr>
          <w:rFonts w:ascii="Times" w:eastAsia="Malgun Gothic" w:hAnsi="Times" w:cs="Times"/>
          <w:lang w:eastAsia="zh-CN"/>
        </w:rPr>
        <w:t>subband</w:t>
      </w:r>
      <w:proofErr w:type="spellEnd"/>
      <w:r w:rsidRPr="006F207E">
        <w:rPr>
          <w:rFonts w:ascii="Times" w:eastAsia="Malgun Gothic" w:hAnsi="Times" w:cs="Times"/>
          <w:lang w:eastAsia="zh-CN"/>
        </w:rPr>
        <w:t xml:space="preserve"> frequency location.</w:t>
      </w:r>
    </w:p>
    <w:p w:rsidR="00706B8F" w:rsidRPr="00C4467D" w:rsidRDefault="00706B8F" w:rsidP="009A4788">
      <w:pPr>
        <w:numPr>
          <w:ilvl w:val="1"/>
          <w:numId w:val="23"/>
        </w:numPr>
        <w:suppressAutoHyphens/>
        <w:overflowPunct/>
        <w:autoSpaceDE/>
        <w:autoSpaceDN/>
        <w:adjustRightInd/>
        <w:spacing w:after="0"/>
        <w:jc w:val="both"/>
        <w:textAlignment w:val="auto"/>
        <w:rPr>
          <w:rFonts w:ascii="Times" w:eastAsia="Malgun Gothic" w:hAnsi="Times" w:cs="Times"/>
          <w:lang w:eastAsia="zh-CN"/>
        </w:rPr>
      </w:pPr>
      <w:r w:rsidRPr="00C4467D">
        <w:rPr>
          <w:rFonts w:ascii="Times" w:eastAsia="Malgun Gothic" w:hAnsi="Times" w:cs="Times"/>
          <w:lang w:eastAsia="zh-CN"/>
        </w:rPr>
        <w:t xml:space="preserve">Subject to RAN4 guidance on the size of </w:t>
      </w:r>
      <w:proofErr w:type="spellStart"/>
      <w:r w:rsidRPr="00C4467D">
        <w:rPr>
          <w:rFonts w:ascii="Times" w:eastAsia="Malgun Gothic" w:hAnsi="Times" w:cs="Times"/>
          <w:lang w:eastAsia="zh-CN"/>
        </w:rPr>
        <w:t>subband</w:t>
      </w:r>
      <w:proofErr w:type="spellEnd"/>
      <w:r w:rsidRPr="00C4467D">
        <w:rPr>
          <w:rFonts w:ascii="Times" w:eastAsia="Malgun Gothic" w:hAnsi="Times" w:cs="Times"/>
          <w:lang w:eastAsia="zh-CN"/>
        </w:rPr>
        <w:t>/</w:t>
      </w:r>
      <w:proofErr w:type="spellStart"/>
      <w:r w:rsidRPr="00C4467D">
        <w:rPr>
          <w:rFonts w:ascii="Times" w:eastAsia="Malgun Gothic" w:hAnsi="Times" w:cs="Times"/>
          <w:lang w:eastAsia="zh-CN"/>
        </w:rPr>
        <w:t>guardband</w:t>
      </w:r>
      <w:proofErr w:type="spellEnd"/>
      <w:r w:rsidRPr="00C4467D">
        <w:rPr>
          <w:rFonts w:ascii="Times" w:eastAsia="Malgun Gothic" w:hAnsi="Times" w:cs="Times"/>
          <w:lang w:eastAsia="zh-CN"/>
        </w:rPr>
        <w:t>, if any</w:t>
      </w:r>
    </w:p>
    <w:p w:rsidR="00706B8F" w:rsidRPr="006F207E" w:rsidRDefault="00706B8F" w:rsidP="009A4788">
      <w:pPr>
        <w:numPr>
          <w:ilvl w:val="1"/>
          <w:numId w:val="23"/>
        </w:numPr>
        <w:suppressAutoHyphens/>
        <w:overflowPunct/>
        <w:autoSpaceDE/>
        <w:autoSpaceDN/>
        <w:adjustRightInd/>
        <w:spacing w:after="0"/>
        <w:jc w:val="both"/>
        <w:textAlignment w:val="auto"/>
        <w:rPr>
          <w:rFonts w:ascii="Times" w:eastAsia="Malgun Gothic" w:hAnsi="Times" w:cs="Times"/>
          <w:lang w:eastAsia="zh-CN"/>
        </w:rPr>
      </w:pPr>
      <w:r w:rsidRPr="006F207E">
        <w:rPr>
          <w:rFonts w:ascii="Times" w:eastAsia="Malgun Gothic" w:hAnsi="Times" w:cs="Times"/>
          <w:lang w:eastAsia="zh-CN"/>
        </w:rPr>
        <w:t>FFS reference starting RB and reference SCS</w:t>
      </w:r>
    </w:p>
    <w:p w:rsidR="00706B8F" w:rsidRPr="007D252A" w:rsidRDefault="00706B8F" w:rsidP="00944D11">
      <w:pPr>
        <w:rPr>
          <w:rFonts w:eastAsia="等线"/>
          <w:lang w:val="en-US" w:eastAsia="zh-CN"/>
        </w:rPr>
      </w:pPr>
    </w:p>
    <w:p w:rsidR="00DB75B6" w:rsidRPr="009A4788" w:rsidRDefault="007D252A" w:rsidP="00E106E5">
      <w:pPr>
        <w:rPr>
          <w:rFonts w:eastAsia="等线"/>
          <w:b/>
          <w:lang w:eastAsia="zh-CN"/>
        </w:rPr>
      </w:pPr>
      <w:bookmarkStart w:id="2" w:name="OLE_LINK12"/>
      <w:bookmarkStart w:id="3" w:name="OLE_LINK13"/>
      <w:r w:rsidRPr="007D252A">
        <w:rPr>
          <w:rFonts w:eastAsia="等线"/>
          <w:b/>
          <w:lang w:val="en-US" w:eastAsia="zh-CN"/>
        </w:rPr>
        <w:t xml:space="preserve">Proposal 3: It is suggested to specify </w:t>
      </w:r>
      <w:proofErr w:type="spellStart"/>
      <w:r w:rsidRPr="007D252A">
        <w:rPr>
          <w:rFonts w:eastAsia="等线"/>
          <w:b/>
          <w:lang w:val="en-US" w:eastAsia="zh-CN"/>
        </w:rPr>
        <w:t>gu</w:t>
      </w:r>
      <w:r>
        <w:rPr>
          <w:rFonts w:eastAsia="等线"/>
          <w:b/>
          <w:lang w:val="en-US" w:eastAsia="zh-CN"/>
        </w:rPr>
        <w:t>ar</w:t>
      </w:r>
      <w:r w:rsidRPr="007D252A">
        <w:rPr>
          <w:rFonts w:eastAsia="等线"/>
          <w:b/>
          <w:lang w:val="en-US" w:eastAsia="zh-CN"/>
        </w:rPr>
        <w:t>dband</w:t>
      </w:r>
      <w:proofErr w:type="spellEnd"/>
      <w:r w:rsidRPr="007D252A">
        <w:rPr>
          <w:rFonts w:eastAsia="等线"/>
          <w:b/>
          <w:lang w:val="en-US" w:eastAsia="zh-CN"/>
        </w:rPr>
        <w:t xml:space="preserve"> between DL and UL </w:t>
      </w:r>
      <w:proofErr w:type="spellStart"/>
      <w:r w:rsidRPr="007D252A">
        <w:rPr>
          <w:rFonts w:eastAsia="等线"/>
          <w:b/>
          <w:lang w:val="en-US" w:eastAsia="zh-CN"/>
        </w:rPr>
        <w:t>subband</w:t>
      </w:r>
      <w:proofErr w:type="spellEnd"/>
      <w:r w:rsidRPr="007D252A">
        <w:rPr>
          <w:rFonts w:eastAsia="等线"/>
          <w:b/>
          <w:lang w:val="en-US" w:eastAsia="zh-CN"/>
        </w:rPr>
        <w:t xml:space="preserve"> in a BS channel bandwidth.</w:t>
      </w:r>
      <w:bookmarkEnd w:id="2"/>
      <w:bookmarkEnd w:id="3"/>
    </w:p>
    <w:p w:rsidR="00A0720F" w:rsidRDefault="000768CB" w:rsidP="00B21479">
      <w:pPr>
        <w:pStyle w:val="1"/>
        <w:rPr>
          <w:rFonts w:eastAsia="宋体"/>
          <w:lang w:eastAsia="zh-CN"/>
        </w:rPr>
      </w:pPr>
      <w:r w:rsidDel="000768CB">
        <w:rPr>
          <w:rFonts w:eastAsia="等线" w:hint="eastAsia"/>
          <w:lang w:eastAsia="zh-CN"/>
        </w:rPr>
        <w:lastRenderedPageBreak/>
        <w:t xml:space="preserve"> </w:t>
      </w:r>
      <w:r w:rsidR="00A0720F">
        <w:rPr>
          <w:rFonts w:eastAsia="宋体" w:hint="eastAsia"/>
          <w:lang w:eastAsia="zh-CN"/>
        </w:rPr>
        <w:t>Conclusion</w:t>
      </w:r>
    </w:p>
    <w:p w:rsidR="00B36F8F" w:rsidRDefault="00B36F8F" w:rsidP="00B36F8F">
      <w:pPr>
        <w:rPr>
          <w:rFonts w:eastAsia="宋体"/>
          <w:lang w:eastAsia="zh-CN"/>
        </w:rPr>
      </w:pPr>
      <w:r>
        <w:rPr>
          <w:rFonts w:eastAsia="宋体"/>
          <w:lang w:eastAsia="zh-CN"/>
        </w:rPr>
        <w:t>T</w:t>
      </w:r>
      <w:r>
        <w:rPr>
          <w:rFonts w:eastAsia="宋体" w:hint="eastAsia"/>
          <w:lang w:eastAsia="zh-CN"/>
        </w:rPr>
        <w:t xml:space="preserve">his contribution </w:t>
      </w:r>
      <w:r w:rsidR="00706B8F">
        <w:rPr>
          <w:rFonts w:eastAsia="宋体"/>
          <w:lang w:eastAsia="zh-CN"/>
        </w:rPr>
        <w:t xml:space="preserve">shares our views on </w:t>
      </w:r>
      <w:proofErr w:type="spellStart"/>
      <w:r w:rsidR="00706B8F">
        <w:rPr>
          <w:rFonts w:eastAsia="宋体"/>
          <w:lang w:eastAsia="zh-CN"/>
        </w:rPr>
        <w:t>gNB</w:t>
      </w:r>
      <w:proofErr w:type="spellEnd"/>
      <w:r w:rsidR="00706B8F">
        <w:rPr>
          <w:rFonts w:eastAsia="宋体"/>
          <w:lang w:eastAsia="zh-CN"/>
        </w:rPr>
        <w:t xml:space="preserve"> SBFD</w:t>
      </w:r>
      <w:r w:rsidR="00925858">
        <w:rPr>
          <w:rFonts w:eastAsia="宋体"/>
          <w:lang w:eastAsia="zh-CN"/>
        </w:rPr>
        <w:t>. The following proposals are made:</w:t>
      </w:r>
    </w:p>
    <w:p w:rsidR="00706B8F" w:rsidRDefault="00706B8F" w:rsidP="009A4788">
      <w:pPr>
        <w:jc w:val="both"/>
        <w:rPr>
          <w:rFonts w:eastAsia="等线"/>
          <w:b/>
          <w:lang w:val="en-US" w:eastAsia="zh-CN"/>
        </w:rPr>
      </w:pPr>
      <w:bookmarkStart w:id="4" w:name="_GoBack"/>
      <w:r w:rsidRPr="00944D11">
        <w:rPr>
          <w:rFonts w:eastAsia="等线"/>
          <w:b/>
          <w:lang w:val="en-US" w:eastAsia="zh-CN"/>
        </w:rPr>
        <w:t xml:space="preserve">Proposal 1: Before start of specifying BS RF requirements, it is suggested to specify operating bands for </w:t>
      </w:r>
      <w:proofErr w:type="spellStart"/>
      <w:r w:rsidRPr="00944D11">
        <w:rPr>
          <w:rFonts w:eastAsia="等线"/>
          <w:b/>
          <w:lang w:val="en-US" w:eastAsia="zh-CN"/>
        </w:rPr>
        <w:t>gNB</w:t>
      </w:r>
      <w:proofErr w:type="spellEnd"/>
      <w:r w:rsidRPr="00944D11">
        <w:rPr>
          <w:rFonts w:eastAsia="等线"/>
          <w:b/>
          <w:lang w:val="en-US" w:eastAsia="zh-CN"/>
        </w:rPr>
        <w:t xml:space="preserve"> SBFD.</w:t>
      </w:r>
    </w:p>
    <w:p w:rsidR="00706B8F" w:rsidRPr="00C4467D" w:rsidRDefault="00706B8F" w:rsidP="009A4788">
      <w:pPr>
        <w:jc w:val="both"/>
        <w:rPr>
          <w:rFonts w:eastAsia="等线"/>
          <w:b/>
          <w:lang w:val="en-US" w:eastAsia="zh-CN"/>
        </w:rPr>
      </w:pPr>
      <w:r w:rsidRPr="00C4467D">
        <w:rPr>
          <w:rFonts w:eastAsia="等线"/>
          <w:b/>
          <w:lang w:val="en-US" w:eastAsia="zh-CN"/>
        </w:rPr>
        <w:t xml:space="preserve">Proposal 2. It is suggested to specify BS channel bandwidths and SBFD configurations for </w:t>
      </w:r>
      <w:proofErr w:type="spellStart"/>
      <w:r w:rsidRPr="00C4467D">
        <w:rPr>
          <w:rFonts w:eastAsia="等线"/>
          <w:b/>
          <w:lang w:val="en-US" w:eastAsia="zh-CN"/>
        </w:rPr>
        <w:t>gNB</w:t>
      </w:r>
      <w:proofErr w:type="spellEnd"/>
      <w:r w:rsidRPr="00C4467D">
        <w:rPr>
          <w:rFonts w:eastAsia="等线"/>
          <w:b/>
          <w:lang w:val="en-US" w:eastAsia="zh-CN"/>
        </w:rPr>
        <w:t xml:space="preserve"> SBFD.</w:t>
      </w:r>
    </w:p>
    <w:p w:rsidR="000768CB" w:rsidRPr="00DB75B6" w:rsidRDefault="00706B8F" w:rsidP="009A4788">
      <w:pPr>
        <w:jc w:val="both"/>
        <w:rPr>
          <w:rFonts w:eastAsia="等线"/>
          <w:b/>
          <w:lang w:eastAsia="zh-CN"/>
        </w:rPr>
      </w:pPr>
      <w:r w:rsidRPr="007D252A">
        <w:rPr>
          <w:rFonts w:eastAsia="等线"/>
          <w:b/>
          <w:lang w:val="en-US" w:eastAsia="zh-CN"/>
        </w:rPr>
        <w:t xml:space="preserve">Proposal 3: It is suggested to specify </w:t>
      </w:r>
      <w:proofErr w:type="spellStart"/>
      <w:r w:rsidRPr="007D252A">
        <w:rPr>
          <w:rFonts w:eastAsia="等线"/>
          <w:b/>
          <w:lang w:val="en-US" w:eastAsia="zh-CN"/>
        </w:rPr>
        <w:t>gu</w:t>
      </w:r>
      <w:r>
        <w:rPr>
          <w:rFonts w:eastAsia="等线"/>
          <w:b/>
          <w:lang w:val="en-US" w:eastAsia="zh-CN"/>
        </w:rPr>
        <w:t>ar</w:t>
      </w:r>
      <w:r w:rsidRPr="007D252A">
        <w:rPr>
          <w:rFonts w:eastAsia="等线"/>
          <w:b/>
          <w:lang w:val="en-US" w:eastAsia="zh-CN"/>
        </w:rPr>
        <w:t>dband</w:t>
      </w:r>
      <w:proofErr w:type="spellEnd"/>
      <w:r w:rsidRPr="007D252A">
        <w:rPr>
          <w:rFonts w:eastAsia="等线"/>
          <w:b/>
          <w:lang w:val="en-US" w:eastAsia="zh-CN"/>
        </w:rPr>
        <w:t xml:space="preserve"> between DL and UL </w:t>
      </w:r>
      <w:proofErr w:type="spellStart"/>
      <w:r w:rsidRPr="007D252A">
        <w:rPr>
          <w:rFonts w:eastAsia="等线"/>
          <w:b/>
          <w:lang w:val="en-US" w:eastAsia="zh-CN"/>
        </w:rPr>
        <w:t>subband</w:t>
      </w:r>
      <w:proofErr w:type="spellEnd"/>
      <w:r w:rsidRPr="007D252A">
        <w:rPr>
          <w:rFonts w:eastAsia="等线"/>
          <w:b/>
          <w:lang w:val="en-US" w:eastAsia="zh-CN"/>
        </w:rPr>
        <w:t xml:space="preserve"> in a BS channel bandwidth.</w:t>
      </w:r>
    </w:p>
    <w:bookmarkEnd w:id="4"/>
    <w:p w:rsidR="00F10F97" w:rsidRDefault="00F10F97" w:rsidP="00F10F97">
      <w:pPr>
        <w:pStyle w:val="1"/>
        <w:numPr>
          <w:ilvl w:val="0"/>
          <w:numId w:val="0"/>
        </w:numPr>
        <w:rPr>
          <w:rFonts w:eastAsia="宋体"/>
          <w:lang w:eastAsia="zh-CN"/>
        </w:rPr>
      </w:pPr>
      <w:r>
        <w:t>References</w:t>
      </w:r>
    </w:p>
    <w:p w:rsidR="004F18C9" w:rsidRPr="00BF16C6" w:rsidRDefault="00056FBF" w:rsidP="004F18C9">
      <w:pPr>
        <w:rPr>
          <w:rFonts w:eastAsia="等线"/>
        </w:rPr>
      </w:pPr>
      <w:r>
        <w:t>[1]</w:t>
      </w:r>
      <w:r w:rsidR="0014440F" w:rsidRPr="0014440F">
        <w:rPr>
          <w:rFonts w:eastAsia="等线"/>
        </w:rPr>
        <w:t xml:space="preserve"> </w:t>
      </w:r>
      <w:r w:rsidR="00EB2FBB">
        <w:rPr>
          <w:rFonts w:eastAsia="等线"/>
        </w:rPr>
        <w:t xml:space="preserve">RP-240172, </w:t>
      </w:r>
      <w:r w:rsidR="00EB2FBB" w:rsidRPr="00EB2FBB">
        <w:rPr>
          <w:rFonts w:eastAsia="等线"/>
        </w:rPr>
        <w:t>WID revision: Evolution of NR duplex operation: Sub-band full duplex (SBFD)</w:t>
      </w:r>
      <w:r w:rsidR="00EB2FBB">
        <w:rPr>
          <w:rFonts w:eastAsia="等线"/>
        </w:rPr>
        <w:t>, RAN#103.</w:t>
      </w:r>
    </w:p>
    <w:p w:rsidR="0009717D" w:rsidRPr="00BF16C6" w:rsidRDefault="0009717D" w:rsidP="00765B3D">
      <w:pPr>
        <w:rPr>
          <w:rFonts w:eastAsia="等线"/>
        </w:rPr>
      </w:pPr>
    </w:p>
    <w:sectPr w:rsidR="0009717D"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1129" w:rsidRDefault="00971129">
      <w:r>
        <w:separator/>
      </w:r>
    </w:p>
  </w:endnote>
  <w:endnote w:type="continuationSeparator" w:id="0">
    <w:p w:rsidR="00971129" w:rsidRDefault="00971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00000287" w:usb1="08070000" w:usb2="00000010"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default"/>
    <w:sig w:usb0="00000000" w:usb1="00000000"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1129" w:rsidRDefault="00971129">
      <w:r>
        <w:separator/>
      </w:r>
    </w:p>
  </w:footnote>
  <w:footnote w:type="continuationSeparator" w:id="0">
    <w:p w:rsidR="00971129" w:rsidRDefault="009711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B5CE4478">
      <w:start w:val="1"/>
      <w:numFmt w:val="decimal"/>
      <w:pStyle w:val="4"/>
      <w:lvlText w:val="%1."/>
      <w:lvlJc w:val="left"/>
      <w:pPr>
        <w:tabs>
          <w:tab w:val="num" w:pos="720"/>
        </w:tabs>
        <w:ind w:left="720" w:hanging="360"/>
      </w:pPr>
    </w:lvl>
    <w:lvl w:ilvl="1" w:tplc="1660D15A">
      <w:start w:val="1"/>
      <w:numFmt w:val="lowerLetter"/>
      <w:lvlText w:val="%2."/>
      <w:lvlJc w:val="left"/>
      <w:pPr>
        <w:tabs>
          <w:tab w:val="num" w:pos="1440"/>
        </w:tabs>
        <w:ind w:left="1440" w:hanging="360"/>
      </w:pPr>
    </w:lvl>
    <w:lvl w:ilvl="2" w:tplc="091CF896" w:tentative="1">
      <w:start w:val="1"/>
      <w:numFmt w:val="lowerRoman"/>
      <w:lvlText w:val="%3."/>
      <w:lvlJc w:val="right"/>
      <w:pPr>
        <w:tabs>
          <w:tab w:val="num" w:pos="2160"/>
        </w:tabs>
        <w:ind w:left="2160" w:hanging="180"/>
      </w:pPr>
    </w:lvl>
    <w:lvl w:ilvl="3" w:tplc="15720C4A" w:tentative="1">
      <w:start w:val="1"/>
      <w:numFmt w:val="decimal"/>
      <w:lvlText w:val="%4."/>
      <w:lvlJc w:val="left"/>
      <w:pPr>
        <w:tabs>
          <w:tab w:val="num" w:pos="2880"/>
        </w:tabs>
        <w:ind w:left="2880" w:hanging="360"/>
      </w:pPr>
    </w:lvl>
    <w:lvl w:ilvl="4" w:tplc="D1D4271A" w:tentative="1">
      <w:start w:val="1"/>
      <w:numFmt w:val="lowerLetter"/>
      <w:lvlText w:val="%5."/>
      <w:lvlJc w:val="left"/>
      <w:pPr>
        <w:tabs>
          <w:tab w:val="num" w:pos="3600"/>
        </w:tabs>
        <w:ind w:left="3600" w:hanging="360"/>
      </w:pPr>
    </w:lvl>
    <w:lvl w:ilvl="5" w:tplc="986E4D88" w:tentative="1">
      <w:start w:val="1"/>
      <w:numFmt w:val="lowerRoman"/>
      <w:lvlText w:val="%6."/>
      <w:lvlJc w:val="right"/>
      <w:pPr>
        <w:tabs>
          <w:tab w:val="num" w:pos="4320"/>
        </w:tabs>
        <w:ind w:left="4320" w:hanging="180"/>
      </w:pPr>
    </w:lvl>
    <w:lvl w:ilvl="6" w:tplc="AAD89B76" w:tentative="1">
      <w:start w:val="1"/>
      <w:numFmt w:val="decimal"/>
      <w:lvlText w:val="%7."/>
      <w:lvlJc w:val="left"/>
      <w:pPr>
        <w:tabs>
          <w:tab w:val="num" w:pos="5040"/>
        </w:tabs>
        <w:ind w:left="5040" w:hanging="360"/>
      </w:pPr>
    </w:lvl>
    <w:lvl w:ilvl="7" w:tplc="629A1C98" w:tentative="1">
      <w:start w:val="1"/>
      <w:numFmt w:val="lowerLetter"/>
      <w:lvlText w:val="%8."/>
      <w:lvlJc w:val="left"/>
      <w:pPr>
        <w:tabs>
          <w:tab w:val="num" w:pos="5760"/>
        </w:tabs>
        <w:ind w:left="5760" w:hanging="360"/>
      </w:pPr>
    </w:lvl>
    <w:lvl w:ilvl="8" w:tplc="4FA84F62"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B1F74"/>
    <w:multiLevelType w:val="hybridMultilevel"/>
    <w:tmpl w:val="BB1A634C"/>
    <w:lvl w:ilvl="0" w:tplc="F3545D76">
      <w:start w:val="1"/>
      <w:numFmt w:val="bullet"/>
      <w:lvlText w:val="•"/>
      <w:lvlJc w:val="left"/>
      <w:pPr>
        <w:tabs>
          <w:tab w:val="num" w:pos="720"/>
        </w:tabs>
        <w:ind w:left="720" w:hanging="360"/>
      </w:pPr>
      <w:rPr>
        <w:rFonts w:ascii="Arial" w:hAnsi="Arial" w:hint="default"/>
      </w:rPr>
    </w:lvl>
    <w:lvl w:ilvl="1" w:tplc="E4A62F80">
      <w:numFmt w:val="bullet"/>
      <w:lvlText w:val="•"/>
      <w:lvlJc w:val="left"/>
      <w:pPr>
        <w:tabs>
          <w:tab w:val="num" w:pos="1440"/>
        </w:tabs>
        <w:ind w:left="1440" w:hanging="360"/>
      </w:pPr>
      <w:rPr>
        <w:rFonts w:ascii="Arial" w:hAnsi="Arial" w:hint="default"/>
      </w:rPr>
    </w:lvl>
    <w:lvl w:ilvl="2" w:tplc="8FF09276" w:tentative="1">
      <w:start w:val="1"/>
      <w:numFmt w:val="bullet"/>
      <w:lvlText w:val="•"/>
      <w:lvlJc w:val="left"/>
      <w:pPr>
        <w:tabs>
          <w:tab w:val="num" w:pos="2160"/>
        </w:tabs>
        <w:ind w:left="2160" w:hanging="360"/>
      </w:pPr>
      <w:rPr>
        <w:rFonts w:ascii="Arial" w:hAnsi="Arial" w:hint="default"/>
      </w:rPr>
    </w:lvl>
    <w:lvl w:ilvl="3" w:tplc="6756C45C" w:tentative="1">
      <w:start w:val="1"/>
      <w:numFmt w:val="bullet"/>
      <w:lvlText w:val="•"/>
      <w:lvlJc w:val="left"/>
      <w:pPr>
        <w:tabs>
          <w:tab w:val="num" w:pos="2880"/>
        </w:tabs>
        <w:ind w:left="2880" w:hanging="360"/>
      </w:pPr>
      <w:rPr>
        <w:rFonts w:ascii="Arial" w:hAnsi="Arial" w:hint="default"/>
      </w:rPr>
    </w:lvl>
    <w:lvl w:ilvl="4" w:tplc="A794876C" w:tentative="1">
      <w:start w:val="1"/>
      <w:numFmt w:val="bullet"/>
      <w:lvlText w:val="•"/>
      <w:lvlJc w:val="left"/>
      <w:pPr>
        <w:tabs>
          <w:tab w:val="num" w:pos="3600"/>
        </w:tabs>
        <w:ind w:left="3600" w:hanging="360"/>
      </w:pPr>
      <w:rPr>
        <w:rFonts w:ascii="Arial" w:hAnsi="Arial" w:hint="default"/>
      </w:rPr>
    </w:lvl>
    <w:lvl w:ilvl="5" w:tplc="A9223038" w:tentative="1">
      <w:start w:val="1"/>
      <w:numFmt w:val="bullet"/>
      <w:lvlText w:val="•"/>
      <w:lvlJc w:val="left"/>
      <w:pPr>
        <w:tabs>
          <w:tab w:val="num" w:pos="4320"/>
        </w:tabs>
        <w:ind w:left="4320" w:hanging="360"/>
      </w:pPr>
      <w:rPr>
        <w:rFonts w:ascii="Arial" w:hAnsi="Arial" w:hint="default"/>
      </w:rPr>
    </w:lvl>
    <w:lvl w:ilvl="6" w:tplc="5C8CC2FC" w:tentative="1">
      <w:start w:val="1"/>
      <w:numFmt w:val="bullet"/>
      <w:lvlText w:val="•"/>
      <w:lvlJc w:val="left"/>
      <w:pPr>
        <w:tabs>
          <w:tab w:val="num" w:pos="5040"/>
        </w:tabs>
        <w:ind w:left="5040" w:hanging="360"/>
      </w:pPr>
      <w:rPr>
        <w:rFonts w:ascii="Arial" w:hAnsi="Arial" w:hint="default"/>
      </w:rPr>
    </w:lvl>
    <w:lvl w:ilvl="7" w:tplc="D54690FE" w:tentative="1">
      <w:start w:val="1"/>
      <w:numFmt w:val="bullet"/>
      <w:lvlText w:val="•"/>
      <w:lvlJc w:val="left"/>
      <w:pPr>
        <w:tabs>
          <w:tab w:val="num" w:pos="5760"/>
        </w:tabs>
        <w:ind w:left="5760" w:hanging="360"/>
      </w:pPr>
      <w:rPr>
        <w:rFonts w:ascii="Arial" w:hAnsi="Arial" w:hint="default"/>
      </w:rPr>
    </w:lvl>
    <w:lvl w:ilvl="8" w:tplc="0B68F30E"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0"/>
  </w:num>
  <w:num w:numId="3">
    <w:abstractNumId w:val="11"/>
  </w:num>
  <w:num w:numId="4">
    <w:abstractNumId w:val="20"/>
  </w:num>
  <w:num w:numId="5">
    <w:abstractNumId w:val="9"/>
  </w:num>
  <w:num w:numId="6">
    <w:abstractNumId w:val="4"/>
  </w:num>
  <w:num w:numId="7">
    <w:abstractNumId w:val="12"/>
  </w:num>
  <w:num w:numId="8">
    <w:abstractNumId w:val="7"/>
  </w:num>
  <w:num w:numId="9">
    <w:abstractNumId w:val="17"/>
  </w:num>
  <w:num w:numId="10">
    <w:abstractNumId w:val="0"/>
  </w:num>
  <w:num w:numId="11">
    <w:abstractNumId w:val="2"/>
  </w:num>
  <w:num w:numId="12">
    <w:abstractNumId w:val="18"/>
  </w:num>
  <w:num w:numId="13">
    <w:abstractNumId w:val="8"/>
  </w:num>
  <w:num w:numId="14">
    <w:abstractNumId w:val="14"/>
  </w:num>
  <w:num w:numId="15">
    <w:abstractNumId w:val="13"/>
  </w:num>
  <w:num w:numId="16">
    <w:abstractNumId w:val="15"/>
  </w:num>
  <w:num w:numId="17">
    <w:abstractNumId w:val="12"/>
  </w:num>
  <w:num w:numId="18">
    <w:abstractNumId w:val="1"/>
  </w:num>
  <w:num w:numId="19">
    <w:abstractNumId w:val="3"/>
  </w:num>
  <w:num w:numId="20">
    <w:abstractNumId w:val="19"/>
  </w:num>
  <w:num w:numId="21">
    <w:abstractNumId w:val="6"/>
  </w:num>
  <w:num w:numId="22">
    <w:abstractNumId w:val="21"/>
  </w:num>
  <w:num w:numId="23">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3B02"/>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0B"/>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89B"/>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1C6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0B55"/>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999"/>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5EA"/>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0CF"/>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841"/>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3F46"/>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6B8F"/>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67B"/>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52A"/>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4D1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129"/>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788"/>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B78A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022"/>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4158"/>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67D"/>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2FBB"/>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3F5010"/>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05169199">
      <w:bodyDiv w:val="1"/>
      <w:marLeft w:val="0"/>
      <w:marRight w:val="0"/>
      <w:marTop w:val="0"/>
      <w:marBottom w:val="0"/>
      <w:divBdr>
        <w:top w:val="none" w:sz="0" w:space="0" w:color="auto"/>
        <w:left w:val="none" w:sz="0" w:space="0" w:color="auto"/>
        <w:bottom w:val="none" w:sz="0" w:space="0" w:color="auto"/>
        <w:right w:val="none" w:sz="0" w:space="0" w:color="auto"/>
      </w:divBdr>
      <w:divsChild>
        <w:div w:id="783810796">
          <w:marLeft w:val="446"/>
          <w:marRight w:val="0"/>
          <w:marTop w:val="0"/>
          <w:marBottom w:val="0"/>
          <w:divBdr>
            <w:top w:val="none" w:sz="0" w:space="0" w:color="auto"/>
            <w:left w:val="none" w:sz="0" w:space="0" w:color="auto"/>
            <w:bottom w:val="none" w:sz="0" w:space="0" w:color="auto"/>
            <w:right w:val="none" w:sz="0" w:space="0" w:color="auto"/>
          </w:divBdr>
        </w:div>
        <w:div w:id="1740246705">
          <w:marLeft w:val="1166"/>
          <w:marRight w:val="0"/>
          <w:marTop w:val="0"/>
          <w:marBottom w:val="0"/>
          <w:divBdr>
            <w:top w:val="none" w:sz="0" w:space="0" w:color="auto"/>
            <w:left w:val="none" w:sz="0" w:space="0" w:color="auto"/>
            <w:bottom w:val="none" w:sz="0" w:space="0" w:color="auto"/>
            <w:right w:val="none" w:sz="0" w:space="0" w:color="auto"/>
          </w:divBdr>
        </w:div>
        <w:div w:id="1224213495">
          <w:marLeft w:val="446"/>
          <w:marRight w:val="0"/>
          <w:marTop w:val="0"/>
          <w:marBottom w:val="0"/>
          <w:divBdr>
            <w:top w:val="none" w:sz="0" w:space="0" w:color="auto"/>
            <w:left w:val="none" w:sz="0" w:space="0" w:color="auto"/>
            <w:bottom w:val="none" w:sz="0" w:space="0" w:color="auto"/>
            <w:right w:val="none" w:sz="0" w:space="0" w:color="auto"/>
          </w:divBdr>
        </w:div>
        <w:div w:id="848719847">
          <w:marLeft w:val="1166"/>
          <w:marRight w:val="0"/>
          <w:marTop w:val="0"/>
          <w:marBottom w:val="0"/>
          <w:divBdr>
            <w:top w:val="none" w:sz="0" w:space="0" w:color="auto"/>
            <w:left w:val="none" w:sz="0" w:space="0" w:color="auto"/>
            <w:bottom w:val="none" w:sz="0" w:space="0" w:color="auto"/>
            <w:right w:val="none" w:sz="0" w:space="0" w:color="auto"/>
          </w:divBdr>
        </w:div>
        <w:div w:id="1482847048">
          <w:marLeft w:val="446"/>
          <w:marRight w:val="0"/>
          <w:marTop w:val="0"/>
          <w:marBottom w:val="0"/>
          <w:divBdr>
            <w:top w:val="none" w:sz="0" w:space="0" w:color="auto"/>
            <w:left w:val="none" w:sz="0" w:space="0" w:color="auto"/>
            <w:bottom w:val="none" w:sz="0" w:space="0" w:color="auto"/>
            <w:right w:val="none" w:sz="0" w:space="0" w:color="auto"/>
          </w:divBdr>
        </w:div>
        <w:div w:id="1413963241">
          <w:marLeft w:val="1166"/>
          <w:marRight w:val="0"/>
          <w:marTop w:val="0"/>
          <w:marBottom w:val="0"/>
          <w:divBdr>
            <w:top w:val="none" w:sz="0" w:space="0" w:color="auto"/>
            <w:left w:val="none" w:sz="0" w:space="0" w:color="auto"/>
            <w:bottom w:val="none" w:sz="0" w:space="0" w:color="auto"/>
            <w:right w:val="none" w:sz="0" w:space="0" w:color="auto"/>
          </w:divBdr>
        </w:div>
      </w:divsChild>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38522-DCE9-4134-9644-26A559872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84</TotalTime>
  <Pages>2</Pages>
  <Words>565</Words>
  <Characters>3224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3782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26</cp:revision>
  <cp:lastPrinted>2010-01-07T02:23:00Z</cp:lastPrinted>
  <dcterms:created xsi:type="dcterms:W3CDTF">2022-07-28T02:31:00Z</dcterms:created>
  <dcterms:modified xsi:type="dcterms:W3CDTF">2024-04-08T11:43:00Z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